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754"/>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eastAsiaTheme="minorEastAsia"/>
                <w:vertAlign w:val="baseline"/>
                <w:lang w:val="en-US" w:eastAsia="zh-CN"/>
              </w:rPr>
            </w:pPr>
            <w:r>
              <w:rPr>
                <w:rFonts w:hint="eastAsia"/>
                <w:vertAlign w:val="baseline"/>
                <w:lang w:val="en-US" w:eastAsia="zh-CN"/>
              </w:rPr>
              <w:t>序号</w:t>
            </w:r>
          </w:p>
        </w:tc>
        <w:tc>
          <w:tcPr>
            <w:tcW w:w="1754" w:type="dxa"/>
          </w:tcPr>
          <w:p>
            <w:pPr>
              <w:rPr>
                <w:rFonts w:hint="default" w:eastAsiaTheme="minorEastAsia"/>
                <w:vertAlign w:val="baseline"/>
                <w:lang w:val="en-US" w:eastAsia="zh-CN"/>
              </w:rPr>
            </w:pPr>
            <w:r>
              <w:rPr>
                <w:rFonts w:hint="eastAsia"/>
                <w:vertAlign w:val="baseline"/>
                <w:lang w:val="en-US" w:eastAsia="zh-CN"/>
              </w:rPr>
              <w:t>功能模块</w:t>
            </w:r>
          </w:p>
        </w:tc>
        <w:tc>
          <w:tcPr>
            <w:tcW w:w="6120" w:type="dxa"/>
          </w:tcPr>
          <w:p>
            <w:pPr>
              <w:rPr>
                <w:rFonts w:hint="default" w:eastAsiaTheme="minorEastAsia"/>
                <w:vertAlign w:val="baseline"/>
                <w:lang w:val="en-US" w:eastAsia="zh-CN"/>
              </w:rPr>
            </w:pPr>
            <w:r>
              <w:rPr>
                <w:rFonts w:hint="eastAsia"/>
                <w:vertAlign w:val="baseline"/>
                <w:lang w:val="en-US" w:eastAsia="zh-CN"/>
              </w:rPr>
              <w:t>功能及技术参数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eastAsia" w:eastAsiaTheme="minorEastAsia"/>
                <w:vertAlign w:val="baseline"/>
                <w:lang w:val="en-US" w:eastAsia="zh-CN"/>
              </w:rPr>
            </w:pPr>
            <w:r>
              <w:rPr>
                <w:rFonts w:hint="eastAsia"/>
                <w:vertAlign w:val="baseline"/>
                <w:lang w:val="en-US" w:eastAsia="zh-CN"/>
              </w:rPr>
              <w:t>1</w:t>
            </w:r>
          </w:p>
        </w:tc>
        <w:tc>
          <w:tcPr>
            <w:tcW w:w="1754" w:type="dxa"/>
            <w:vMerge w:val="restart"/>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系统总体要求</w:t>
            </w: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w:t>
            </w:r>
            <w:r>
              <w:rPr>
                <w:rFonts w:hint="eastAsia" w:ascii="宋体" w:hAnsi="宋体" w:eastAsia="宋体" w:cs="宋体"/>
                <w:bCs/>
                <w:color w:val="auto"/>
                <w:sz w:val="18"/>
                <w:szCs w:val="18"/>
                <w:lang w:val="en-US" w:eastAsia="zh-CN"/>
              </w:rPr>
              <w:t>拥有福建省综合医院医院评审政策解读，严格按照福建省省卫健委创建标准实施细则的要求，内置第四周期《福建省三级医院评审标准2022版》指标；内置《福建省三级医院评审标准2022版》三类指标的参考资料和模板；针对《福建省三级医院评审标准2022版》三类指标提供专家的专业解读，并预置在任务详情中，便于执行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●通过软件系统可辅助医院梳理管理组织架构、重建制度架构体系，支持医院日常常态化管理，体现医院质量PDCA持续发展提升要求。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3</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满足PC端之外，为了满足医务人员闲暇碎片式时间及出差也能兼顾日常工作，应支持通过手机钉钉端、企业微信端分别登录系统并进行有关操作。数据库同PC版共享互通，评审系统移动端能够满足消息查收，创建标准查阅、任务分派及条款目标设定、台账上传、审核、自查自评、达标情况及达标变化图标展现、培训考试。制度管理系统移动端需满足制度文件查看、审批、学习考试、制度总数图标展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4</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供应商提供信息化技术，帮助医院在等级医院迎评中优化任务分配、管控任务执行效果、整体把握项目进度；落实日常自评自查和迎评督评督查；汇集学习考试功能；所有操作关联条款并做到任务执行全过程留痕，便于追踪检查；同时资料归档在迎评台账下，实现信息集成，一键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5</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●可根据福建省等级医院评审及医院自定义需求，内置部分自查、督查模板，自查督查模板符合日常工作实际，以利于工作常态化、标准化。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6</w:t>
            </w:r>
          </w:p>
        </w:tc>
        <w:tc>
          <w:tcPr>
            <w:tcW w:w="1754" w:type="dxa"/>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评审标准知识库</w:t>
            </w:r>
          </w:p>
        </w:tc>
        <w:tc>
          <w:tcPr>
            <w:tcW w:w="6120" w:type="dxa"/>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●支持评审标准查阅，包括条款解读及参考资料等；支持评审标准及条款解读维护，支持知识库管理，上传与评审相关的参考材料，对于资料可以进行标签分类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7</w:t>
            </w:r>
          </w:p>
        </w:tc>
        <w:tc>
          <w:tcPr>
            <w:tcW w:w="1754" w:type="dxa"/>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任务分派</w:t>
            </w:r>
          </w:p>
        </w:tc>
        <w:tc>
          <w:tcPr>
            <w:tcW w:w="6120" w:type="dxa"/>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根据医院设置的组织架构图进行条款的任务分配，支持院科三级分派，由督导领导、责任科室、执行科室，每个条款分配到每个人员身上，实现责任到人。分派结果支持增加、删除等修改，上一级有相应分派及修改权限。可以查询到所有条款的任务分配情况，任务量分配是否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8</w:t>
            </w:r>
          </w:p>
        </w:tc>
        <w:tc>
          <w:tcPr>
            <w:tcW w:w="1754" w:type="dxa"/>
            <w:vMerge w:val="restart"/>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台账上传审核</w:t>
            </w: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 台账上传：执行人员能够对应条款进行单个台账或者批量上传，台账上传时能够关联台账标签并归档，能显示台账后续的节点审批情况。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9</w:t>
            </w:r>
          </w:p>
        </w:tc>
        <w:tc>
          <w:tcPr>
            <w:tcW w:w="1754" w:type="dxa"/>
            <w:vMerge w:val="continue"/>
          </w:tcPr>
          <w:p>
            <w:pPr>
              <w:widowControl/>
              <w:spacing w:line="400" w:lineRule="exact"/>
              <w:jc w:val="left"/>
              <w:rPr>
                <w:rFonts w:hint="default"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 xml:space="preserve">  台账审核：审批人能够直观查看条款台账上传数及审核数，能够查看台账审批的节点，对台账审核时能够进行意见反馈。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10</w:t>
            </w:r>
          </w:p>
        </w:tc>
        <w:tc>
          <w:tcPr>
            <w:tcW w:w="1754" w:type="dxa"/>
            <w:vMerge w:val="restart"/>
            <w:vAlign w:val="center"/>
          </w:tcPr>
          <w:p>
            <w:pPr>
              <w:widowControl/>
              <w:spacing w:line="400" w:lineRule="exact"/>
              <w:jc w:val="left"/>
              <w:rPr>
                <w:rFonts w:hint="eastAsia" w:ascii="宋体" w:hAnsi="宋体" w:eastAsia="宋体" w:cs="宋体"/>
                <w:bCs/>
                <w:color w:val="auto"/>
                <w:sz w:val="18"/>
                <w:szCs w:val="18"/>
                <w:lang w:val="en-US" w:eastAsia="zh-CN"/>
              </w:rPr>
            </w:pPr>
          </w:p>
          <w:p>
            <w:pPr>
              <w:widowControl/>
              <w:spacing w:line="400" w:lineRule="exact"/>
              <w:jc w:val="left"/>
              <w:rPr>
                <w:rFonts w:hint="eastAsia" w:ascii="宋体" w:hAnsi="宋体" w:eastAsia="宋体" w:cs="宋体"/>
                <w:bCs/>
                <w:color w:val="auto"/>
                <w:sz w:val="18"/>
                <w:szCs w:val="18"/>
                <w:lang w:val="en-US" w:eastAsia="zh-CN"/>
              </w:rPr>
            </w:pPr>
          </w:p>
          <w:p>
            <w:pPr>
              <w:widowControl/>
              <w:spacing w:line="400" w:lineRule="exact"/>
              <w:jc w:val="left"/>
              <w:rPr>
                <w:rFonts w:hint="eastAsia" w:ascii="宋体" w:hAnsi="宋体" w:eastAsia="宋体" w:cs="宋体"/>
                <w:bCs/>
                <w:color w:val="auto"/>
                <w:sz w:val="18"/>
                <w:szCs w:val="18"/>
                <w:lang w:val="en-US" w:eastAsia="zh-CN"/>
              </w:rPr>
            </w:pPr>
          </w:p>
          <w:p>
            <w:pPr>
              <w:widowControl/>
              <w:spacing w:line="400" w:lineRule="exact"/>
              <w:jc w:val="left"/>
              <w:rPr>
                <w:rFonts w:hint="eastAsia" w:ascii="宋体" w:hAnsi="宋体" w:eastAsia="宋体" w:cs="宋体"/>
                <w:bCs/>
                <w:color w:val="auto"/>
                <w:sz w:val="18"/>
                <w:szCs w:val="18"/>
                <w:lang w:val="en-US" w:eastAsia="zh-CN"/>
              </w:rPr>
            </w:pP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自查考核</w:t>
            </w:r>
          </w:p>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支持手动添加自查模板；支持模板批量导入；支持自查模板批量作废；支持模板设置编号、类别、名称、自查频次、自查人等，根据自查频次可以自动发起自查卷；支持自查模板权限管理。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11</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收到待办自查时能收到提醒；支持自查打分、上传图片并反馈自查当前问题和解决建议的输入；根据自查的类别不同，支持定期自查。支持所有已执行完成的自查表单统一归档，支持自己部门和上级领导对自查表单进行统计；统计结果支持数据或用曲线图柱状图等多种图表展示；支持按科室、日期等进行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12</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支持问题点信息抓取并可以反馈给科室成员，形成自查持续改进。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13</w:t>
            </w:r>
          </w:p>
        </w:tc>
        <w:tc>
          <w:tcPr>
            <w:tcW w:w="1754" w:type="dxa"/>
            <w:vMerge w:val="restart"/>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督查考核</w:t>
            </w:r>
          </w:p>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手动添加督查模板；支持模板批量导入；支持督查模板批量作废；支持模板设置编号、类别、名称、督查频次、督查人等，根据督查频次可以设置定时推送；发给相应督查人去督查相应科室；支持督查模板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14</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收到待办督查时能收到提醒；支持督查打分、上传图片并反馈督查当前问题和解决建议的输入；根据督查的类别不同，支持定期督查。支持所有已执行完成的督查表单统一归档，支持自己部门和上级领导对督查表结果进行查看和统计；统计结果支持数据或用曲线图柱状图等多种图表展示；支持按科室、日期等进行查询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15</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支持抓取同个问题不同科室情况和一个科室所有问题，并支持相互流通反馈，形成督查持续改进。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16</w:t>
            </w:r>
          </w:p>
        </w:tc>
        <w:tc>
          <w:tcPr>
            <w:tcW w:w="1754" w:type="dxa"/>
            <w:vMerge w:val="restart"/>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考学管理</w:t>
            </w: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●支持从本地添加学习资料，支持指定学习人员和学习时间，学习类型支持全院学习、按条款学习、按部门学习、按人员学习</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学习资料格式支持PPT、Word、Excel、图片、PDF、视频；支持电脑端进行学习，学习资料之前预览或下载</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支持查看学习结果，包括学习人、学习次数等，学习结果支持导出</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支持学习资料关联考试，并将学习资料自动归档迎评台账。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17</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bookmarkStart w:id="0" w:name="_GoBack"/>
            <w:bookmarkEnd w:id="0"/>
            <w:r>
              <w:rPr>
                <w:rFonts w:hint="eastAsia" w:ascii="宋体" w:hAnsi="宋体" w:eastAsia="宋体" w:cs="宋体"/>
                <w:bCs/>
                <w:color w:val="auto"/>
                <w:sz w:val="18"/>
                <w:szCs w:val="18"/>
                <w:lang w:val="en-US" w:eastAsia="zh-CN"/>
              </w:rPr>
              <w:t>支持医院新建题库、试卷库，可批量导入题目。支持新建、删除、编辑考试卷；支持试题手动添加和批量导入和从题库抽取题目；支持指定考试人员和规定的考试次数、考试时间、支持进行题目随机设置；支持电脑端进行考试；支持客观题目系统自动评分；支持重考；支持考试统计结果导出，关联条款，并进行考试资料自动归档迎评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18</w:t>
            </w:r>
          </w:p>
        </w:tc>
        <w:tc>
          <w:tcPr>
            <w:tcW w:w="1754" w:type="dxa"/>
            <w:vMerge w:val="restart"/>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自查自评</w:t>
            </w: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●可手动设置或后台录入条款目标值，并实时体现当前节点自评值，并在系统界面直观对比，当前节点自评值未达目标值，系统能够逐条高亮预警。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19</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职能科室针对条款执行情况能够打分，并给出自评情况及整改措施，每一条款历史自评情况能够形成时间轴。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20</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自评节点支持医院根据等评进度规划按时间轴手动及自动灵活设置，并到时自动展现当前整体自评情况，自动出具自评报告。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21</w:t>
            </w:r>
          </w:p>
        </w:tc>
        <w:tc>
          <w:tcPr>
            <w:tcW w:w="1754"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迎评管理</w:t>
            </w: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支持任务执行、制度上传、学习、考试、自查、督查与条款关联，执行前中后的资料都按照条款归档存储，并生成台账资料；超级管理员拥有资料下载功能。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22</w:t>
            </w:r>
          </w:p>
        </w:tc>
        <w:tc>
          <w:tcPr>
            <w:tcW w:w="1754"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进度统计</w:t>
            </w: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支持等级完成率等进度参照对比功能，可以按章/节/条/款、责任分组/科室/人员、时间段等列表对比统计，增加对等级评审迎评工作的进度把控。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23</w:t>
            </w:r>
          </w:p>
        </w:tc>
        <w:tc>
          <w:tcPr>
            <w:tcW w:w="1754" w:type="dxa"/>
            <w:vMerge w:val="restart"/>
          </w:tcPr>
          <w:p>
            <w:pPr>
              <w:widowControl/>
              <w:spacing w:line="400" w:lineRule="exact"/>
              <w:jc w:val="left"/>
              <w:rPr>
                <w:rFonts w:hint="eastAsia" w:ascii="宋体" w:hAnsi="宋体" w:eastAsia="宋体" w:cs="宋体"/>
                <w:bCs/>
                <w:color w:val="auto"/>
                <w:sz w:val="18"/>
                <w:szCs w:val="18"/>
                <w:lang w:val="en-US" w:eastAsia="zh-CN"/>
              </w:rPr>
            </w:pP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评审进度管理</w:t>
            </w: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●评审报告：</w:t>
            </w:r>
          </w:p>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1）自动生成全院评审自评报告，能体现自评整体情况，包括自评总体分值及分项分值，与目标值对比，自动统计展现科室评审工作进度及完成情况，支持在线填写医院评审工作存在问题及亮点，自评报告支持打印、导出。</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（2）对应所有条款完成情况自动生成每一批次的评审明细报告，能体现自评分值和措施状态的完成状态，能体现当前等级和目标值，报告可导出下载。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24</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360人员绩效管理：</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能实时体现督导领导、责任科室、执行科室工作任务的当前完成情况及完成比例和历史自评情况及历史自评比率，可通过数据溯源展示任务具体完成情况。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25</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360条款进度统计：</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能实时体现所有条款节点的当前完成情况及完成比例和所有条款节点的历史自评情况及历史自评比例，可通过数据溯源展示任务具体完成情况。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26</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条款分组统计：</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能按照条款分组实时体现相关条款的当前完成情况及完成比例和体现相关条款历史自评情况及历史自评比例，可通过数据溯源展示任务具体完成情况。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27</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center"/>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●自评达标对比：</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通过柱状图及Excel表对应创建复评的标准值展示当前及历史自评情况。通过圆饼图展示当前自评达标完成情况及比率。通过条形图可展示“已完成”“未完成”“待申报”各自完成情况及比率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28</w:t>
            </w:r>
          </w:p>
        </w:tc>
        <w:tc>
          <w:tcPr>
            <w:tcW w:w="1754"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资讯管理</w:t>
            </w: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支持发布院内新闻、通知、公告等讯息，支持附件上传、关联条款（自行选择或选择自查督查模板），电脑端手机端首页可同步查看，便于员工及时掌握院内资讯，便于院内信息传播，形成良好的迎评氛围。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29</w:t>
            </w:r>
          </w:p>
        </w:tc>
        <w:tc>
          <w:tcPr>
            <w:tcW w:w="1754" w:type="dxa"/>
            <w:vMerge w:val="restart"/>
            <w:vAlign w:val="center"/>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台账管理</w:t>
            </w: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台账归档：</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台账库管理，台账库内可存储医院各类制度、会议、培训、检查等资料；支持查看权限和编辑权限的设置；支持批量导入台账库文件夹；支持新建、删除、移动等操作；支持资料批量上传。台账库具有知识库管理和压缩包在线预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48" w:type="dxa"/>
          </w:tcPr>
          <w:p>
            <w:pPr>
              <w:rPr>
                <w:rFonts w:hint="default"/>
                <w:vertAlign w:val="baseline"/>
                <w:lang w:val="en-US" w:eastAsia="zh-CN"/>
              </w:rPr>
            </w:pPr>
            <w:r>
              <w:rPr>
                <w:rFonts w:hint="eastAsia"/>
                <w:vertAlign w:val="baseline"/>
                <w:lang w:val="en-US" w:eastAsia="zh-CN"/>
              </w:rPr>
              <w:t>30</w:t>
            </w:r>
          </w:p>
        </w:tc>
        <w:tc>
          <w:tcPr>
            <w:tcW w:w="1754" w:type="dxa"/>
            <w:vMerge w:val="continue"/>
            <w:vAlign w:val="center"/>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台账分类查阅：</w:t>
            </w:r>
          </w:p>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上传台账能根据电子台账档案盒分类并对应条款进行分类查阅。归档台账支持按条款编码、台账名、科室、人员、审批状态进行高级检索。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31</w:t>
            </w:r>
          </w:p>
        </w:tc>
        <w:tc>
          <w:tcPr>
            <w:tcW w:w="1754"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合理缺项</w:t>
            </w:r>
          </w:p>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top"/>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可以根据医院实际情况选择出本院第三部分条款合理缺项，即选择出来的合理缺项将在本次自评中排除，不需要医院填报数据，也不纳入总分计算。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32</w:t>
            </w:r>
          </w:p>
        </w:tc>
        <w:tc>
          <w:tcPr>
            <w:tcW w:w="1754" w:type="dxa"/>
            <w:vMerge w:val="restart"/>
          </w:tcPr>
          <w:p>
            <w:pPr>
              <w:rPr>
                <w:rFonts w:hint="default"/>
                <w:vertAlign w:val="baseline"/>
                <w:lang w:val="en-US" w:eastAsia="zh-CN"/>
              </w:rPr>
            </w:pPr>
            <w:r>
              <w:rPr>
                <w:rFonts w:hint="eastAsia"/>
                <w:vertAlign w:val="baseline"/>
                <w:lang w:val="en-US" w:eastAsia="zh-CN"/>
              </w:rPr>
              <w:t>制度管理系统</w:t>
            </w: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制度知识库：</w:t>
            </w:r>
          </w:p>
          <w:p>
            <w:pPr>
              <w:widowControl/>
              <w:numPr>
                <w:ilvl w:val="0"/>
                <w:numId w:val="1"/>
              </w:numPr>
              <w:spacing w:line="400" w:lineRule="exact"/>
              <w:ind w:left="425" w:leftChars="0" w:hanging="425" w:firstLineChars="0"/>
              <w:jc w:val="left"/>
              <w:rPr>
                <w:rFonts w:hint="default" w:ascii="宋体" w:hAnsi="宋体" w:eastAsia="宋体" w:cs="宋体"/>
                <w:bCs/>
                <w:color w:val="auto"/>
                <w:sz w:val="18"/>
                <w:szCs w:val="18"/>
                <w:lang w:val="en-US" w:eastAsia="zh-CN"/>
              </w:rPr>
            </w:pPr>
            <w:r>
              <w:rPr>
                <w:rFonts w:hint="default" w:ascii="宋体" w:hAnsi="宋体" w:eastAsia="宋体" w:cs="宋体"/>
                <w:bCs/>
                <w:color w:val="auto"/>
                <w:sz w:val="18"/>
                <w:szCs w:val="18"/>
                <w:lang w:val="en-US" w:eastAsia="zh-CN"/>
              </w:rPr>
              <w:t>系统内置院科两级的制度管理体系建设</w:t>
            </w:r>
          </w:p>
          <w:p>
            <w:pPr>
              <w:widowControl/>
              <w:numPr>
                <w:ilvl w:val="0"/>
                <w:numId w:val="1"/>
              </w:numPr>
              <w:spacing w:line="400" w:lineRule="exact"/>
              <w:ind w:left="425" w:leftChars="0" w:hanging="425" w:firstLineChars="0"/>
              <w:jc w:val="left"/>
              <w:rPr>
                <w:rFonts w:hint="default" w:ascii="宋体" w:hAnsi="宋体" w:eastAsia="宋体" w:cs="宋体"/>
                <w:bCs/>
                <w:color w:val="auto"/>
                <w:sz w:val="18"/>
                <w:szCs w:val="18"/>
                <w:lang w:val="en-US" w:eastAsia="zh-CN"/>
              </w:rPr>
            </w:pPr>
            <w:r>
              <w:rPr>
                <w:rFonts w:hint="default" w:ascii="宋体" w:hAnsi="宋体" w:eastAsia="宋体" w:cs="宋体"/>
                <w:bCs/>
                <w:color w:val="auto"/>
                <w:sz w:val="18"/>
                <w:szCs w:val="18"/>
                <w:lang w:val="en-US" w:eastAsia="zh-CN"/>
              </w:rPr>
              <w:t>系统内置制度的表单设计 </w:t>
            </w:r>
          </w:p>
          <w:p>
            <w:pPr>
              <w:widowControl/>
              <w:numPr>
                <w:ilvl w:val="0"/>
                <w:numId w:val="1"/>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●系统内置制度内容的模板、应知应会题库、应急预案模板及参考文件等</w:t>
            </w:r>
          </w:p>
          <w:p>
            <w:pPr>
              <w:widowControl/>
              <w:numPr>
                <w:ilvl w:val="0"/>
                <w:numId w:val="1"/>
              </w:numPr>
              <w:spacing w:line="400" w:lineRule="exact"/>
              <w:ind w:left="425" w:leftChars="0" w:hanging="425" w:firstLineChars="0"/>
              <w:jc w:val="left"/>
              <w:rPr>
                <w:rFonts w:hint="default" w:ascii="宋体" w:hAnsi="宋体" w:eastAsia="宋体" w:cs="宋体"/>
                <w:bCs/>
                <w:color w:val="auto"/>
                <w:sz w:val="18"/>
                <w:szCs w:val="18"/>
                <w:lang w:val="en-US" w:eastAsia="zh-CN"/>
              </w:rPr>
            </w:pPr>
            <w:r>
              <w:rPr>
                <w:rFonts w:hint="default" w:ascii="宋体" w:hAnsi="宋体" w:eastAsia="宋体" w:cs="宋体"/>
                <w:bCs/>
                <w:color w:val="auto"/>
                <w:sz w:val="18"/>
                <w:szCs w:val="18"/>
                <w:lang w:val="en-US" w:eastAsia="zh-CN"/>
              </w:rPr>
              <w:t>知识库支持用户自定义增减、录入及维护</w:t>
            </w:r>
          </w:p>
          <w:p>
            <w:pPr>
              <w:widowControl/>
              <w:numPr>
                <w:ilvl w:val="0"/>
                <w:numId w:val="1"/>
              </w:numPr>
              <w:spacing w:line="400" w:lineRule="exact"/>
              <w:ind w:left="425" w:leftChars="0" w:hanging="425" w:firstLineChars="0"/>
              <w:jc w:val="left"/>
              <w:rPr>
                <w:rFonts w:hint="default"/>
                <w:lang w:val="en-US" w:eastAsia="zh-CN"/>
              </w:rPr>
            </w:pPr>
            <w:r>
              <w:rPr>
                <w:rFonts w:hint="default" w:ascii="宋体" w:hAnsi="宋体" w:eastAsia="宋体" w:cs="宋体"/>
                <w:bCs/>
                <w:color w:val="auto"/>
                <w:sz w:val="18"/>
                <w:szCs w:val="18"/>
                <w:lang w:val="en-US" w:eastAsia="zh-CN"/>
              </w:rPr>
              <w:t>知识库可支持录入等评细则，并支持制度等台账同细则要点的关联。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33</w:t>
            </w:r>
          </w:p>
        </w:tc>
        <w:tc>
          <w:tcPr>
            <w:tcW w:w="1754" w:type="dxa"/>
            <w:vMerge w:val="continue"/>
          </w:tcPr>
          <w:p>
            <w:pPr>
              <w:rPr>
                <w:rFonts w:hint="eastAsia"/>
                <w:vertAlign w:val="baseline"/>
                <w:lang w:val="en-US" w:eastAsia="zh-CN"/>
              </w:rPr>
            </w:pPr>
          </w:p>
        </w:tc>
        <w:tc>
          <w:tcPr>
            <w:tcW w:w="6120" w:type="dxa"/>
            <w:vAlign w:val="center"/>
          </w:tcPr>
          <w:p>
            <w:pPr>
              <w:spacing w:line="380" w:lineRule="exact"/>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制度管理：</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可实现多组织管理（医联体/医共体），可对用户一键导出，赋予相应角色加对应权限，可实现制度个性化展示（如科员仅能查看本科室制度），科室各自维护制度等个性化功能。</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系统支持结构化数据存储和word版本批量录入导入方式。将制度统一拆解成几大板块，分模块编辑录入，统一制度建设和管理标准，可对核心制度进行呈现上的标注强调；制度新增或修改完成后，可直接提交进入审批流程，提高实效性。</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●制度查阅板块采用高级搜索，可按制度类别/学习状态/修订单位查询，或者采用编号和关键字的模糊查询，快速获取想要的制度并导出（带动态水印保护知识成果）。</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制度类别、制度模板、制度审批流程等支持医院自定义需求</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●支持制度制定时查重功能，对于制度草案提交审批前可发起意见征集，可选择征集人员、设置征集时间、提前中止征集，形成意见清单</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支持制度全流程线上审批</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自由创建审批流程</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同级、交叉审批人员选择、流程设定</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审批任务提醒</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个人审批清单汇总（已审核/未审核/审核总进度）</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审批历史记录查看</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审批节点耗时查看</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节点超时消息催审</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待审批制度全页面预览+审批意见填写（拒绝/同意+意见）</w:t>
            </w:r>
          </w:p>
          <w:p>
            <w:pPr>
              <w:widowControl/>
              <w:numPr>
                <w:ilvl w:val="1"/>
                <w:numId w:val="2"/>
              </w:numPr>
              <w:spacing w:line="400" w:lineRule="exact"/>
              <w:ind w:left="840" w:leftChars="0" w:hanging="420"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集中审批绑定（如科室制度审批流程相同，可绑定同个审批流）</w:t>
            </w:r>
          </w:p>
          <w:p>
            <w:pPr>
              <w:widowControl/>
              <w:numPr>
                <w:ilvl w:val="1"/>
                <w:numId w:val="2"/>
              </w:numPr>
              <w:spacing w:line="400" w:lineRule="exact"/>
              <w:ind w:left="840" w:leftChars="0" w:hanging="420" w:firstLineChars="0"/>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审批流程能自定义设置并体现电子签名签章，生成审批节点流程图。</w:t>
            </w:r>
          </w:p>
          <w:p>
            <w:pPr>
              <w:widowControl/>
              <w:numPr>
                <w:ilvl w:val="0"/>
                <w:numId w:val="2"/>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●对所有正式生效的制度会形成制度清单，职工可对现行制度进行留言评论点赞</w:t>
            </w:r>
          </w:p>
          <w:p>
            <w:pPr>
              <w:widowControl/>
              <w:numPr>
                <w:ilvl w:val="0"/>
                <w:numId w:val="2"/>
              </w:numPr>
              <w:spacing w:line="400" w:lineRule="exact"/>
              <w:ind w:left="425" w:leftChars="0" w:hanging="425" w:firstLineChars="0"/>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●支持制度到期回顾提醒，支持制度修订及废止，对修订的制度可查看历史版本，修订留痕</w:t>
            </w:r>
          </w:p>
          <w:p>
            <w:pP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34</w:t>
            </w:r>
          </w:p>
        </w:tc>
        <w:tc>
          <w:tcPr>
            <w:tcW w:w="1754" w:type="dxa"/>
            <w:vMerge w:val="continue"/>
          </w:tcPr>
          <w:p>
            <w:pPr>
              <w:rPr>
                <w:rFonts w:hint="eastAsia"/>
                <w:vertAlign w:val="baseline"/>
                <w:lang w:val="en-US" w:eastAsia="zh-CN"/>
              </w:rPr>
            </w:pPr>
          </w:p>
        </w:tc>
        <w:tc>
          <w:tcPr>
            <w:tcW w:w="6120" w:type="dxa"/>
            <w:vAlign w:val="center"/>
          </w:tcPr>
          <w:p>
            <w:pPr>
              <w:widowControl/>
              <w:spacing w:line="400" w:lineRule="exact"/>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制度学习考试闭环：</w:t>
            </w:r>
          </w:p>
          <w:p>
            <w:pPr>
              <w:widowControl/>
              <w:numPr>
                <w:ilvl w:val="0"/>
                <w:numId w:val="3"/>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学习板块通过计时学习+自测+自测答疑解析，可及时巩固知识点，全院制度学习排名也会在每个用户的主界面进行显示，增强学习氛围感。</w:t>
            </w:r>
          </w:p>
          <w:p>
            <w:pPr>
              <w:widowControl/>
              <w:numPr>
                <w:ilvl w:val="0"/>
                <w:numId w:val="3"/>
              </w:numPr>
              <w:spacing w:line="400" w:lineRule="exact"/>
              <w:ind w:left="425" w:leftChars="0" w:hanging="425" w:firstLineChars="0"/>
              <w:jc w:val="left"/>
              <w:rPr>
                <w:rFonts w:hint="default"/>
                <w:lang w:val="en-US" w:eastAsia="zh-CN"/>
              </w:rPr>
            </w:pPr>
            <w:r>
              <w:rPr>
                <w:rFonts w:hint="eastAsia" w:ascii="宋体" w:hAnsi="宋体" w:eastAsia="宋体" w:cs="宋体"/>
                <w:bCs/>
                <w:color w:val="auto"/>
                <w:sz w:val="18"/>
                <w:szCs w:val="18"/>
                <w:lang w:val="en-US" w:eastAsia="zh-CN"/>
              </w:rPr>
              <w:t>●针对十八项核心制度、法律法规、全院制度等不同类别制度分类展示学习情况，学习进度缓慢可支持督促学习提醒</w:t>
            </w:r>
          </w:p>
          <w:p>
            <w:pPr>
              <w:widowControl/>
              <w:numPr>
                <w:ilvl w:val="0"/>
                <w:numId w:val="3"/>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制度考试板块设置个人考务管理中心，在这里可以完成医院推送的试卷，也可对已完成试卷查看成绩，并参照显示的解析对错误点进行及时巩固复习。</w:t>
            </w:r>
          </w:p>
          <w:p>
            <w:pPr>
              <w:widowControl/>
              <w:numPr>
                <w:ilvl w:val="0"/>
                <w:numId w:val="3"/>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制度考试可在管理后台进行一键组卷，选择考试人员进行一键推送，可实现PC/手机端考试，或生成本试卷二维码，进行统一线下考试，考试完成后可查看考生成绩，进行成绩导出，为后续管理提供参考。</w:t>
            </w:r>
          </w:p>
          <w:p>
            <w:pPr>
              <w:widowControl/>
              <w:numPr>
                <w:ilvl w:val="0"/>
                <w:numId w:val="4"/>
              </w:numPr>
              <w:spacing w:line="400" w:lineRule="exact"/>
              <w:ind w:left="0" w:leftChars="0" w:firstLine="360" w:firstLineChars="20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通过工号+密码登陆查看</w:t>
            </w:r>
          </w:p>
          <w:p>
            <w:pPr>
              <w:widowControl/>
              <w:numPr>
                <w:ilvl w:val="0"/>
                <w:numId w:val="4"/>
              </w:numPr>
              <w:spacing w:line="400" w:lineRule="exact"/>
              <w:ind w:left="0" w:leftChars="0" w:firstLine="360" w:firstLineChars="20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动态学习面板</w:t>
            </w:r>
          </w:p>
          <w:p>
            <w:pPr>
              <w:widowControl/>
              <w:numPr>
                <w:ilvl w:val="0"/>
                <w:numId w:val="4"/>
              </w:numPr>
              <w:spacing w:line="400" w:lineRule="exact"/>
              <w:ind w:left="0" w:leftChars="0" w:firstLine="360" w:firstLineChars="20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计时学习</w:t>
            </w:r>
          </w:p>
          <w:p>
            <w:pPr>
              <w:widowControl/>
              <w:numPr>
                <w:ilvl w:val="0"/>
                <w:numId w:val="4"/>
              </w:numPr>
              <w:spacing w:line="400" w:lineRule="exact"/>
              <w:ind w:left="0" w:leftChars="0" w:firstLine="360" w:firstLineChars="20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自测练习</w:t>
            </w:r>
          </w:p>
          <w:p>
            <w:pPr>
              <w:widowControl/>
              <w:numPr>
                <w:ilvl w:val="0"/>
                <w:numId w:val="4"/>
              </w:numPr>
              <w:spacing w:line="400" w:lineRule="exact"/>
              <w:ind w:left="0" w:leftChars="0" w:firstLine="360" w:firstLineChars="20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自测答疑解析</w:t>
            </w:r>
          </w:p>
          <w:p>
            <w:pPr>
              <w:widowControl/>
              <w:numPr>
                <w:ilvl w:val="0"/>
                <w:numId w:val="4"/>
              </w:numPr>
              <w:spacing w:line="400" w:lineRule="exact"/>
              <w:ind w:left="0" w:leftChars="0" w:firstLine="360" w:firstLineChars="20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个人考务管理</w:t>
            </w:r>
          </w:p>
          <w:p>
            <w:pPr>
              <w:widowControl/>
              <w:numPr>
                <w:ilvl w:val="0"/>
                <w:numId w:val="4"/>
              </w:numPr>
              <w:spacing w:line="400" w:lineRule="exact"/>
              <w:ind w:left="0" w:leftChars="0" w:firstLine="360" w:firstLineChars="20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一键自由组卷</w:t>
            </w:r>
          </w:p>
          <w:p>
            <w:pPr>
              <w:widowControl/>
              <w:numPr>
                <w:ilvl w:val="0"/>
                <w:numId w:val="4"/>
              </w:numPr>
              <w:spacing w:line="400" w:lineRule="exact"/>
              <w:ind w:left="0" w:leftChars="0" w:firstLine="360" w:firstLineChars="20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一键安排考试</w:t>
            </w:r>
          </w:p>
          <w:p>
            <w:pPr>
              <w:widowControl/>
              <w:numPr>
                <w:ilvl w:val="0"/>
                <w:numId w:val="4"/>
              </w:numPr>
              <w:spacing w:line="400" w:lineRule="exact"/>
              <w:ind w:left="0" w:leftChars="0" w:firstLine="360" w:firstLineChars="200"/>
              <w:jc w:val="left"/>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考试成绩查询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widowControl/>
              <w:spacing w:line="400" w:lineRule="exact"/>
              <w:jc w:val="left"/>
              <w:rPr>
                <w:rFonts w:hint="default" w:ascii="宋体" w:hAnsi="宋体" w:eastAsia="宋体" w:cs="宋体"/>
                <w:bCs/>
                <w:color w:val="auto"/>
                <w:sz w:val="18"/>
                <w:szCs w:val="18"/>
                <w:lang w:val="en-US" w:eastAsia="zh-CN"/>
              </w:rPr>
            </w:pPr>
            <w:r>
              <w:rPr>
                <w:rFonts w:hint="eastAsia"/>
                <w:vertAlign w:val="baseline"/>
                <w:lang w:val="en-US" w:eastAsia="zh-CN"/>
              </w:rPr>
              <w:t>35</w:t>
            </w:r>
          </w:p>
        </w:tc>
        <w:tc>
          <w:tcPr>
            <w:tcW w:w="1754" w:type="dxa"/>
            <w:vMerge w:val="continue"/>
          </w:tcPr>
          <w:p>
            <w:pPr>
              <w:widowControl/>
              <w:spacing w:line="400" w:lineRule="exact"/>
              <w:jc w:val="left"/>
              <w:rPr>
                <w:rFonts w:hint="eastAsia" w:ascii="宋体" w:hAnsi="宋体" w:eastAsia="宋体" w:cs="宋体"/>
                <w:bCs/>
                <w:color w:val="auto"/>
                <w:sz w:val="18"/>
                <w:szCs w:val="18"/>
                <w:lang w:val="en-US" w:eastAsia="zh-CN"/>
              </w:rPr>
            </w:pPr>
          </w:p>
        </w:tc>
        <w:tc>
          <w:tcPr>
            <w:tcW w:w="6120" w:type="dxa"/>
            <w:vAlign w:val="center"/>
          </w:tcPr>
          <w:p>
            <w:pPr>
              <w:widowControl/>
              <w:spacing w:line="400" w:lineRule="exact"/>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统计分析：</w:t>
            </w:r>
          </w:p>
          <w:p>
            <w:pPr>
              <w:widowControl/>
              <w:numPr>
                <w:ilvl w:val="0"/>
                <w:numId w:val="5"/>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制度分类占比统计；</w:t>
            </w:r>
          </w:p>
          <w:p>
            <w:pPr>
              <w:widowControl/>
              <w:numPr>
                <w:ilvl w:val="0"/>
                <w:numId w:val="5"/>
              </w:numPr>
              <w:spacing w:line="400" w:lineRule="exact"/>
              <w:ind w:left="425" w:leftChars="0" w:hanging="425" w:firstLineChars="0"/>
              <w:jc w:val="left"/>
              <w:rPr>
                <w:rFonts w:hint="eastAsia"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制度状态占比统计；</w:t>
            </w:r>
          </w:p>
          <w:p>
            <w:pPr>
              <w:widowControl/>
              <w:numPr>
                <w:ilvl w:val="0"/>
                <w:numId w:val="5"/>
              </w:numPr>
              <w:spacing w:line="400" w:lineRule="exact"/>
              <w:ind w:left="425" w:leftChars="0" w:hanging="425" w:firstLineChars="0"/>
              <w:jc w:val="left"/>
              <w:rPr>
                <w:rFonts w:hint="default" w:ascii="宋体" w:hAnsi="宋体" w:eastAsia="宋体" w:cs="宋体"/>
                <w:bCs/>
                <w:color w:val="auto"/>
                <w:sz w:val="18"/>
                <w:szCs w:val="18"/>
                <w:lang w:val="en-US" w:eastAsia="zh-CN"/>
              </w:rPr>
            </w:pPr>
            <w:r>
              <w:rPr>
                <w:rFonts w:hint="eastAsia" w:ascii="宋体" w:hAnsi="宋体" w:eastAsia="宋体" w:cs="宋体"/>
                <w:bCs/>
                <w:color w:val="auto"/>
                <w:sz w:val="18"/>
                <w:szCs w:val="18"/>
                <w:lang w:val="en-US" w:eastAsia="zh-CN"/>
              </w:rPr>
              <w:t>对有效、修订、废止制度数据展示；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rPr>
                <w:rFonts w:hint="default"/>
                <w:vertAlign w:val="baseline"/>
                <w:lang w:val="en-US" w:eastAsia="zh-CN"/>
              </w:rPr>
            </w:pPr>
            <w:r>
              <w:rPr>
                <w:rFonts w:hint="eastAsia"/>
                <w:vertAlign w:val="baseline"/>
                <w:lang w:val="en-US" w:eastAsia="zh-CN"/>
              </w:rPr>
              <w:t>36</w:t>
            </w:r>
          </w:p>
        </w:tc>
        <w:tc>
          <w:tcPr>
            <w:tcW w:w="1754" w:type="dxa"/>
            <w:vAlign w:val="center"/>
          </w:tcPr>
          <w:p>
            <w:pPr>
              <w:spacing w:line="38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多端互联</w:t>
            </w:r>
          </w:p>
        </w:tc>
        <w:tc>
          <w:tcPr>
            <w:tcW w:w="6120" w:type="dxa"/>
            <w:vAlign w:val="center"/>
          </w:tcPr>
          <w:p>
            <w:pPr>
              <w:spacing w:line="380" w:lineRule="exact"/>
              <w:jc w:val="left"/>
              <w:rPr>
                <w:rFonts w:hint="eastAsia" w:ascii="宋体" w:hAnsi="宋体" w:eastAsia="宋体" w:cs="宋体"/>
                <w:kern w:val="2"/>
                <w:sz w:val="18"/>
                <w:szCs w:val="18"/>
                <w:lang w:val="en-US" w:eastAsia="zh-CN" w:bidi="ar-SA"/>
              </w:rPr>
            </w:pPr>
            <w:r>
              <w:rPr>
                <w:rFonts w:hint="eastAsia" w:ascii="宋体" w:hAnsi="宋体" w:eastAsia="宋体" w:cs="宋体"/>
                <w:bCs/>
                <w:color w:val="auto"/>
                <w:sz w:val="18"/>
                <w:szCs w:val="18"/>
                <w:lang w:val="en-US" w:eastAsia="zh-CN"/>
              </w:rPr>
              <w:t>●</w:t>
            </w:r>
            <w:r>
              <w:rPr>
                <w:rFonts w:hint="eastAsia" w:ascii="宋体" w:hAnsi="宋体" w:eastAsia="宋体" w:cs="宋体"/>
                <w:sz w:val="18"/>
                <w:szCs w:val="18"/>
              </w:rPr>
              <w:t>1.满足PC端之外，为了满足医务人员闲暇碎片式时间及出差也能兼顾日常工作，应支持通过手机钉钉端、企业微信端登录</w:t>
            </w:r>
            <w:r>
              <w:rPr>
                <w:rFonts w:hint="eastAsia" w:ascii="宋体" w:hAnsi="宋体" w:eastAsia="宋体" w:cs="宋体"/>
                <w:sz w:val="18"/>
                <w:szCs w:val="18"/>
                <w:lang w:val="en-US" w:eastAsia="zh-CN"/>
              </w:rPr>
              <w:t>等级评审</w:t>
            </w:r>
            <w:r>
              <w:rPr>
                <w:rFonts w:hint="eastAsia" w:ascii="宋体" w:hAnsi="宋体" w:eastAsia="宋体" w:cs="宋体"/>
                <w:sz w:val="18"/>
                <w:szCs w:val="18"/>
              </w:rPr>
              <w:t>系统并进行有关操作。数据库同PC版共享互通，</w:t>
            </w:r>
            <w:r>
              <w:rPr>
                <w:rFonts w:hint="eastAsia" w:ascii="宋体" w:hAnsi="宋体" w:eastAsia="宋体" w:cs="宋体"/>
                <w:sz w:val="18"/>
                <w:szCs w:val="18"/>
                <w:lang w:val="en-US" w:eastAsia="zh-CN"/>
              </w:rPr>
              <w:t>等级医院评审</w:t>
            </w:r>
            <w:r>
              <w:rPr>
                <w:rFonts w:hint="eastAsia" w:ascii="宋体" w:hAnsi="宋体" w:eastAsia="宋体" w:cs="宋体"/>
                <w:sz w:val="18"/>
                <w:szCs w:val="18"/>
              </w:rPr>
              <w:t>系统移动端能够满足消息查收，创建标准查阅、任务分派及条款目标设定、台账上传、审核、自查自评、达标情况及达标变化图标展现、培训考试。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0764C1"/>
    <w:multiLevelType w:val="singleLevel"/>
    <w:tmpl w:val="B10764C1"/>
    <w:lvl w:ilvl="0" w:tentative="0">
      <w:start w:val="1"/>
      <w:numFmt w:val="decimal"/>
      <w:lvlText w:val="(%1)"/>
      <w:lvlJc w:val="left"/>
      <w:pPr>
        <w:ind w:left="425" w:hanging="425"/>
      </w:pPr>
      <w:rPr>
        <w:rFonts w:hint="default"/>
      </w:rPr>
    </w:lvl>
  </w:abstractNum>
  <w:abstractNum w:abstractNumId="1">
    <w:nsid w:val="FB9841DD"/>
    <w:multiLevelType w:val="singleLevel"/>
    <w:tmpl w:val="FB9841DD"/>
    <w:lvl w:ilvl="0" w:tentative="0">
      <w:start w:val="1"/>
      <w:numFmt w:val="decimalEnclosedCircleChinese"/>
      <w:suff w:val="nothing"/>
      <w:lvlText w:val="%1　"/>
      <w:lvlJc w:val="left"/>
      <w:pPr>
        <w:ind w:left="0" w:firstLine="400"/>
      </w:pPr>
      <w:rPr>
        <w:rFonts w:hint="eastAsia"/>
      </w:rPr>
    </w:lvl>
  </w:abstractNum>
  <w:abstractNum w:abstractNumId="2">
    <w:nsid w:val="07F11B72"/>
    <w:multiLevelType w:val="multilevel"/>
    <w:tmpl w:val="07F11B72"/>
    <w:lvl w:ilvl="0" w:tentative="0">
      <w:start w:val="1"/>
      <w:numFmt w:val="decimal"/>
      <w:lvlText w:val="(%1)"/>
      <w:lvlJc w:val="left"/>
      <w:pPr>
        <w:ind w:left="425" w:hanging="425"/>
      </w:pPr>
      <w:rPr>
        <w:rFonts w:hint="default"/>
      </w:rPr>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3">
    <w:nsid w:val="79F08C6D"/>
    <w:multiLevelType w:val="singleLevel"/>
    <w:tmpl w:val="79F08C6D"/>
    <w:lvl w:ilvl="0" w:tentative="0">
      <w:start w:val="1"/>
      <w:numFmt w:val="decimal"/>
      <w:lvlText w:val="(%1)"/>
      <w:lvlJc w:val="left"/>
      <w:pPr>
        <w:ind w:left="425" w:hanging="425"/>
      </w:pPr>
      <w:rPr>
        <w:rFonts w:hint="default"/>
      </w:rPr>
    </w:lvl>
  </w:abstractNum>
  <w:abstractNum w:abstractNumId="4">
    <w:nsid w:val="7F43C067"/>
    <w:multiLevelType w:val="singleLevel"/>
    <w:tmpl w:val="7F43C067"/>
    <w:lvl w:ilvl="0" w:tentative="0">
      <w:start w:val="1"/>
      <w:numFmt w:val="decimal"/>
      <w:lvlText w:val="(%1)"/>
      <w:lvlJc w:val="left"/>
      <w:pPr>
        <w:ind w:left="425" w:hanging="425"/>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YjNhZGQ4YmJjY2UyOWViNGFhNTBmZWVmMDY0MGEifQ=="/>
  </w:docVars>
  <w:rsids>
    <w:rsidRoot w:val="00000000"/>
    <w:rsid w:val="3AEF5B84"/>
    <w:rsid w:val="54B53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rPr>
  </w:style>
  <w:style w:type="paragraph" w:styleId="3">
    <w:name w:val="Body Text"/>
    <w:basedOn w:val="1"/>
    <w:next w:val="4"/>
    <w:qFormat/>
    <w:uiPriority w:val="0"/>
    <w:rPr>
      <w:rFonts w:ascii="仿宋_GB2312" w:hAnsi="宋体" w:eastAsia="仿宋_GB2312"/>
      <w:sz w:val="32"/>
      <w:szCs w:val="20"/>
    </w:rPr>
  </w:style>
  <w:style w:type="paragraph" w:styleId="4">
    <w:name w:val="toc 2"/>
    <w:basedOn w:val="1"/>
    <w:next w:val="1"/>
    <w:semiHidden/>
    <w:unhideWhenUsed/>
    <w:qFormat/>
    <w:uiPriority w:val="39"/>
    <w:pPr>
      <w:ind w:left="420" w:leftChars="200"/>
    </w:p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_Style 3"/>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2024-03-07T05:10:00Z</dcterms:created>
  <dc:creator>lenovo</dc:creator>
  <cp:lastModifiedBy>追生活的蜂鸟</cp:lastModifiedBy>
  <dcterms:modified xsi:type="dcterms:W3CDTF">2024-03-07T07:25:49Z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B0FA5FA7F96946BA842F84A8F4A0B363_12</vt:lpwstr>
  </property>
</Properties>
</file>